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00A4B" w:rsidR="00B00A4B" w:rsidP="00B00A4B" w:rsidRDefault="00B00A4B" w14:paraId="204B4876" w14:textId="77777777">
      <w:pPr>
        <w:widowControl w:val="0"/>
        <w:spacing w:after="0" w:line="240" w:lineRule="auto"/>
        <w:ind w:right="20"/>
        <w:jc w:val="center"/>
        <w:rPr>
          <w:rFonts w:ascii="Arial" w:hAnsi="Arial" w:eastAsia="Calibri" w:cs="Arial"/>
          <w:b/>
          <w:smallCaps/>
          <w:kern w:val="0"/>
          <w:sz w:val="28"/>
          <w:szCs w:val="28"/>
          <w14:ligatures w14:val="none"/>
        </w:rPr>
      </w:pPr>
      <w:r w:rsidRPr="00B00A4B">
        <w:rPr>
          <w:rFonts w:ascii="Arial" w:hAnsi="Arial" w:eastAsia="Calibri" w:cs="Arial"/>
          <w:b/>
          <w:smallCaps/>
          <w:kern w:val="0"/>
          <w:sz w:val="28"/>
          <w:szCs w:val="28"/>
          <w14:ligatures w14:val="none"/>
        </w:rPr>
        <w:t>Aegis J. Frumento</w:t>
      </w:r>
    </w:p>
    <w:p w:rsidRPr="00B00A4B" w:rsidR="00B00A4B" w:rsidP="00B00A4B" w:rsidRDefault="00B00A4B" w14:paraId="03279151" w14:textId="77777777">
      <w:pPr>
        <w:widowControl w:val="0"/>
        <w:spacing w:after="0" w:line="240" w:lineRule="auto"/>
        <w:ind w:right="20"/>
        <w:jc w:val="center"/>
        <w:rPr>
          <w:rFonts w:ascii="Arial" w:hAnsi="Arial" w:eastAsia="Calibri" w:cs="Arial"/>
          <w:kern w:val="0"/>
          <w:sz w:val="24"/>
          <w:szCs w:val="24"/>
          <w14:ligatures w14:val="none"/>
        </w:rPr>
      </w:pPr>
      <w:r w:rsidRPr="00B00A4B">
        <w:rPr>
          <w:rFonts w:ascii="Arial" w:hAnsi="Arial" w:eastAsia="Calibri" w:cs="Arial"/>
          <w:kern w:val="0"/>
          <w:sz w:val="24"/>
          <w:szCs w:val="24"/>
          <w14:ligatures w14:val="none"/>
        </w:rPr>
        <w:t xml:space="preserve">Stern Tannenbaum &amp; Bell LLP </w:t>
      </w:r>
    </w:p>
    <w:p w:rsidRPr="00B00A4B" w:rsidR="00B00A4B" w:rsidP="00B00A4B" w:rsidRDefault="00B00A4B" w14:paraId="1FFE779E" w14:textId="77777777">
      <w:pPr>
        <w:widowControl w:val="0"/>
        <w:spacing w:after="0" w:line="240" w:lineRule="auto"/>
        <w:ind w:right="20"/>
        <w:jc w:val="center"/>
        <w:rPr>
          <w:rFonts w:ascii="Arial" w:hAnsi="Arial" w:eastAsia="Calibri" w:cs="Arial"/>
          <w:kern w:val="0"/>
          <w:sz w:val="24"/>
          <w:szCs w:val="24"/>
          <w14:ligatures w14:val="none"/>
        </w:rPr>
      </w:pPr>
      <w:r w:rsidRPr="00B00A4B">
        <w:rPr>
          <w:rFonts w:ascii="Arial" w:hAnsi="Arial" w:eastAsia="Calibri" w:cs="Arial"/>
          <w:kern w:val="0"/>
          <w:sz w:val="24"/>
          <w:szCs w:val="24"/>
          <w14:ligatures w14:val="none"/>
        </w:rPr>
        <w:t>380 Lexington Avenue, Ste. 3300</w:t>
      </w:r>
    </w:p>
    <w:p w:rsidRPr="00B00A4B" w:rsidR="00B00A4B" w:rsidP="00B00A4B" w:rsidRDefault="00B00A4B" w14:paraId="003F9BCE" w14:textId="77777777">
      <w:pPr>
        <w:widowControl w:val="0"/>
        <w:spacing w:after="0" w:line="240" w:lineRule="auto"/>
        <w:ind w:right="20"/>
        <w:jc w:val="center"/>
        <w:rPr>
          <w:rFonts w:ascii="Arial" w:hAnsi="Arial" w:eastAsia="Calibri" w:cs="Arial"/>
          <w:kern w:val="0"/>
          <w:sz w:val="24"/>
          <w:szCs w:val="24"/>
          <w14:ligatures w14:val="none"/>
        </w:rPr>
      </w:pPr>
      <w:r w:rsidRPr="00B00A4B">
        <w:rPr>
          <w:rFonts w:ascii="Arial" w:hAnsi="Arial" w:eastAsia="Calibri" w:cs="Arial"/>
          <w:kern w:val="0"/>
          <w:sz w:val="24"/>
          <w:szCs w:val="24"/>
          <w14:ligatures w14:val="none"/>
        </w:rPr>
        <w:t>New York, NY  10168</w:t>
      </w:r>
    </w:p>
    <w:p w:rsidRPr="00B00A4B" w:rsidR="00B00A4B" w:rsidP="00B00A4B" w:rsidRDefault="00B00A4B" w14:paraId="2348E92E" w14:textId="77777777">
      <w:pPr>
        <w:widowControl w:val="0"/>
        <w:spacing w:after="0" w:line="240" w:lineRule="auto"/>
        <w:ind w:right="20"/>
        <w:jc w:val="center"/>
        <w:rPr>
          <w:rFonts w:ascii="Arial" w:hAnsi="Arial" w:eastAsia="Calibri" w:cs="Arial"/>
          <w:kern w:val="0"/>
          <w:sz w:val="24"/>
          <w:szCs w:val="24"/>
          <w14:ligatures w14:val="none"/>
        </w:rPr>
      </w:pPr>
      <w:r w:rsidRPr="00B00A4B">
        <w:rPr>
          <w:rFonts w:ascii="Arial" w:hAnsi="Arial" w:eastAsia="Calibri" w:cs="Arial"/>
          <w:kern w:val="0"/>
          <w:sz w:val="24"/>
          <w:szCs w:val="24"/>
          <w14:ligatures w14:val="none"/>
        </w:rPr>
        <w:t>212-792-8979</w:t>
      </w:r>
    </w:p>
    <w:p w:rsidRPr="00B00A4B" w:rsidR="00B00A4B" w:rsidP="00B00A4B" w:rsidRDefault="00B00A4B" w14:paraId="3F265E28" w14:textId="77777777">
      <w:pPr>
        <w:widowControl w:val="0"/>
        <w:spacing w:after="0" w:line="240" w:lineRule="auto"/>
        <w:ind w:right="20"/>
        <w:jc w:val="center"/>
        <w:rPr>
          <w:rFonts w:ascii="Arial" w:hAnsi="Arial" w:eastAsia="Calibri" w:cs="Arial"/>
          <w:color w:val="0000FF"/>
          <w:kern w:val="0"/>
          <w:sz w:val="24"/>
          <w:szCs w:val="24"/>
          <w:u w:val="single"/>
          <w14:ligatures w14:val="none"/>
        </w:rPr>
      </w:pPr>
      <w:r w:rsidRPr="00B00A4B">
        <w:rPr>
          <w:rFonts w:ascii="Arial" w:hAnsi="Arial" w:eastAsia="Calibri" w:cs="Arial"/>
          <w:kern w:val="0"/>
          <w:sz w:val="24"/>
          <w:szCs w:val="24"/>
          <w14:ligatures w14:val="none"/>
        </w:rPr>
        <w:t>afrumento@sterntannenbaum.com</w:t>
      </w:r>
    </w:p>
    <w:p w:rsidRPr="00B00A4B" w:rsidR="00B00A4B" w:rsidP="00B00A4B" w:rsidRDefault="00B00A4B" w14:paraId="3DF70198" w14:textId="77777777">
      <w:pPr>
        <w:widowControl w:val="0"/>
        <w:spacing w:after="0" w:line="240" w:lineRule="auto"/>
        <w:ind w:right="20"/>
        <w:jc w:val="center"/>
        <w:rPr>
          <w:rFonts w:ascii="Arial" w:hAnsi="Arial" w:eastAsia="Calibri" w:cs="Arial"/>
          <w:kern w:val="0"/>
          <w:sz w:val="24"/>
          <w:szCs w:val="24"/>
          <w14:ligatures w14:val="none"/>
        </w:rPr>
      </w:pPr>
    </w:p>
    <w:p w:rsidRPr="00B00A4B" w:rsidR="00B00A4B" w:rsidP="00B00A4B" w:rsidRDefault="00B00A4B" w14:paraId="4804EE9F" w14:textId="77777777">
      <w:pPr>
        <w:widowControl w:val="0"/>
        <w:spacing w:before="240" w:after="240" w:line="240" w:lineRule="auto"/>
        <w:ind w:firstLine="720"/>
        <w:rPr>
          <w:rFonts w:ascii="Arial" w:hAnsi="Arial" w:eastAsia="Calibri" w:cs="Arial"/>
          <w:kern w:val="0"/>
          <w:sz w:val="24"/>
          <w:szCs w:val="24"/>
          <w14:ligatures w14:val="none"/>
        </w:rPr>
      </w:pPr>
      <w:r w:rsidRPr="00B00A4B">
        <w:rPr>
          <w:rFonts w:ascii="Arial" w:hAnsi="Arial" w:eastAsia="Calibri" w:cs="Arial"/>
          <w:kern w:val="0"/>
          <w:sz w:val="24"/>
          <w:szCs w:val="24"/>
          <w14:ligatures w14:val="none"/>
        </w:rPr>
        <w:t xml:space="preserve">Aegis J. Frumento co-heads the Financial Markets Practice Group of Stern Tannenbaum &amp; Bell in New York City. </w:t>
      </w:r>
    </w:p>
    <w:p w:rsidRPr="00B00A4B" w:rsidR="00B00A4B" w:rsidP="00B00A4B" w:rsidRDefault="00B00A4B" w14:paraId="004331C4" w14:textId="77777777">
      <w:pPr>
        <w:widowControl w:val="0"/>
        <w:spacing w:before="240" w:after="240" w:line="240" w:lineRule="auto"/>
        <w:ind w:firstLine="720"/>
        <w:rPr>
          <w:rFonts w:ascii="Arial" w:hAnsi="Arial" w:eastAsia="Calibri" w:cs="Arial"/>
          <w:kern w:val="0"/>
          <w:sz w:val="24"/>
          <w:szCs w:val="24"/>
          <w14:ligatures w14:val="none"/>
        </w:rPr>
      </w:pPr>
      <w:r w:rsidRPr="00B00A4B">
        <w:rPr>
          <w:rFonts w:ascii="Arial" w:hAnsi="Arial" w:eastAsia="Calibri" w:cs="Arial"/>
          <w:kern w:val="0"/>
          <w:sz w:val="24"/>
          <w:szCs w:val="24"/>
          <w14:ligatures w14:val="none"/>
        </w:rPr>
        <w:t xml:space="preserve">Although his past and present clients include very large public companies, Aegis is especially interested in representing smaller and mid-sized firms and individual investment professionals, all of whom are chronically under-served by </w:t>
      </w:r>
      <w:proofErr w:type="spellStart"/>
      <w:r w:rsidRPr="00B00A4B">
        <w:rPr>
          <w:rFonts w:ascii="Arial" w:hAnsi="Arial" w:eastAsia="Calibri" w:cs="Arial"/>
          <w:kern w:val="0"/>
          <w:sz w:val="24"/>
          <w:szCs w:val="24"/>
          <w14:ligatures w14:val="none"/>
        </w:rPr>
        <w:t>BigLaw</w:t>
      </w:r>
      <w:proofErr w:type="spellEnd"/>
      <w:r w:rsidRPr="00B00A4B">
        <w:rPr>
          <w:rFonts w:ascii="Arial" w:hAnsi="Arial" w:eastAsia="Calibri" w:cs="Arial"/>
          <w:kern w:val="0"/>
          <w:sz w:val="24"/>
          <w:szCs w:val="24"/>
          <w14:ligatures w14:val="none"/>
        </w:rPr>
        <w:t xml:space="preserve">. He now divides his practice between advocacy and counseling. As an advocate, Aegis has over 40-years’ experience in complex corporate, commercial and securities disputes, including jury and non-jury trials in state and federal trial courts; SEC and FINRA investigations, enforcement proceedings and administrative hearings; and FINRA, AAA, JAMS, </w:t>
      </w:r>
      <w:proofErr w:type="spellStart"/>
      <w:r w:rsidRPr="00B00A4B">
        <w:rPr>
          <w:rFonts w:ascii="Arial" w:hAnsi="Arial" w:eastAsia="Calibri" w:cs="Arial"/>
          <w:kern w:val="0"/>
          <w:sz w:val="24"/>
          <w:szCs w:val="24"/>
          <w14:ligatures w14:val="none"/>
        </w:rPr>
        <w:t>FedArb</w:t>
      </w:r>
      <w:proofErr w:type="spellEnd"/>
      <w:r w:rsidRPr="00B00A4B">
        <w:rPr>
          <w:rFonts w:ascii="Arial" w:hAnsi="Arial" w:eastAsia="Calibri" w:cs="Arial"/>
          <w:kern w:val="0"/>
          <w:sz w:val="24"/>
          <w:szCs w:val="24"/>
          <w14:ligatures w14:val="none"/>
        </w:rPr>
        <w:t xml:space="preserve"> and other mediations and arbitrations. His counseling work focuses on assisting start-ups in the financial and fintech sectors, private equity funds, investment advisers and their principals to ensure their business structures, compliance programs, operations, and disclosures are properly conceived, documented and implemented. Aegis believes the two sides of his practice inform each other—more sensitive to the business realities as an advocate and better able to assess litigation and regulatory risks as a business lawyer.</w:t>
      </w:r>
    </w:p>
    <w:p w:rsidRPr="00B00A4B" w:rsidR="00B00A4B" w:rsidP="00B00A4B" w:rsidRDefault="00B00A4B" w14:paraId="2CD8E42D" w14:textId="77777777">
      <w:pPr>
        <w:widowControl w:val="0"/>
        <w:spacing w:before="240" w:after="240" w:line="240" w:lineRule="auto"/>
        <w:ind w:firstLine="720"/>
        <w:rPr>
          <w:rFonts w:ascii="Arial" w:hAnsi="Arial" w:eastAsia="Calibri" w:cs="Arial"/>
          <w:kern w:val="0"/>
          <w:sz w:val="24"/>
          <w:szCs w:val="24"/>
          <w14:ligatures w14:val="none"/>
        </w:rPr>
      </w:pPr>
      <w:r w:rsidRPr="00B00A4B">
        <w:rPr>
          <w:rFonts w:ascii="Arial" w:hAnsi="Arial" w:eastAsia="Calibri" w:cs="Arial"/>
          <w:kern w:val="0"/>
          <w:sz w:val="24"/>
          <w:szCs w:val="24"/>
          <w14:ligatures w14:val="none"/>
        </w:rPr>
        <w:t xml:space="preserve">Aegis is a graduate of Harvard College and New York University Law School. Before joining Stern Tannenbaum in 2012, Aegis had been a partner and practice head at Duane Morris LLP, the managing partner of the financial industry boutique Singer Frumento LLP, and a Managing Director both of Citigroup and Morgan Stanley. He is currently admitted to practice in New York, the US District Courts in New York City, the US Court of Appeal for the 2d Circuit, and the US Supreme Court. He has long been rated AV Preeminent by Martindale-Hubble and a New York Metro Area </w:t>
      </w:r>
      <w:proofErr w:type="spellStart"/>
      <w:r w:rsidRPr="00B00A4B">
        <w:rPr>
          <w:rFonts w:ascii="Arial" w:hAnsi="Arial" w:eastAsia="Calibri" w:cs="Arial"/>
          <w:kern w:val="0"/>
          <w:sz w:val="24"/>
          <w:szCs w:val="24"/>
          <w14:ligatures w14:val="none"/>
        </w:rPr>
        <w:t>SuperLawyer</w:t>
      </w:r>
      <w:proofErr w:type="spellEnd"/>
      <w:r w:rsidRPr="00B00A4B">
        <w:rPr>
          <w:rFonts w:ascii="Arial" w:hAnsi="Arial" w:eastAsia="Calibri" w:cs="Arial"/>
          <w:kern w:val="0"/>
          <w:sz w:val="24"/>
          <w:szCs w:val="24"/>
          <w14:ligatures w14:val="none"/>
        </w:rPr>
        <w:t>.</w:t>
      </w:r>
    </w:p>
    <w:p w:rsidRPr="00B00A4B" w:rsidR="00B00A4B" w:rsidP="00B00A4B" w:rsidRDefault="00B00A4B" w14:paraId="17B66021" w14:textId="77777777">
      <w:pPr>
        <w:widowControl w:val="0"/>
        <w:spacing w:before="240" w:after="240" w:line="240" w:lineRule="auto"/>
        <w:ind w:firstLine="720"/>
        <w:rPr>
          <w:rFonts w:ascii="Arial" w:hAnsi="Arial" w:eastAsia="Calibri" w:cs="Arial"/>
          <w:kern w:val="0"/>
          <w:sz w:val="24"/>
          <w:szCs w:val="24"/>
          <w14:ligatures w14:val="none"/>
        </w:rPr>
      </w:pPr>
      <w:r w:rsidRPr="00B00A4B">
        <w:rPr>
          <w:rFonts w:ascii="Arial" w:hAnsi="Arial" w:eastAsia="Calibri" w:cs="Arial"/>
          <w:kern w:val="0"/>
          <w:sz w:val="24"/>
          <w:szCs w:val="24"/>
          <w14:ligatures w14:val="none"/>
        </w:rPr>
        <w:t xml:space="preserve">Aegis is a member the American Bar Association, currently serves as a Delegate to the House of Delegates of the New York State Bar Association, is a member of the New York City Bar Association’s Committee on Professional Ethics and is the immediate past Chairperson of the City Bar’s Committee on Professional Responsibility. He is also a Fellow of the American Bar Foundation and a member of the New York American Inn of Court. </w:t>
      </w:r>
    </w:p>
    <w:p w:rsidRPr="009E0E1E" w:rsidR="00B5371F" w:rsidP="003A33FF" w:rsidRDefault="00B00A4B" w14:paraId="348670CC" w14:textId="051023DF">
      <w:pPr>
        <w:widowControl w:val="0"/>
        <w:spacing w:before="240" w:after="240" w:line="240" w:lineRule="auto"/>
        <w:ind w:firstLine="720"/>
        <w:rPr>
          <w:rFonts w:ascii="Arial" w:hAnsi="Arial" w:cs="Arial"/>
        </w:rPr>
      </w:pPr>
      <w:r w:rsidRPr="00B00A4B">
        <w:rPr>
          <w:rFonts w:ascii="Arial" w:hAnsi="Arial" w:eastAsia="Calibri" w:cs="Arial"/>
          <w:kern w:val="0"/>
          <w:sz w:val="24"/>
          <w:szCs w:val="24"/>
          <w14:ligatures w14:val="none"/>
        </w:rPr>
        <w:t xml:space="preserve">Aegis has written extensively on legal and securities matters over the years, and regularly appears on panels discussing securities law and ethics topics. His articles have been published in </w:t>
      </w:r>
      <w:r w:rsidRPr="00B00A4B">
        <w:rPr>
          <w:rFonts w:ascii="Arial" w:hAnsi="Arial" w:eastAsia="Calibri" w:cs="Arial"/>
          <w:i/>
          <w:iCs/>
          <w:kern w:val="0"/>
          <w:sz w:val="24"/>
          <w:szCs w:val="24"/>
          <w14:ligatures w14:val="none"/>
        </w:rPr>
        <w:t>The Business Lawyer</w:t>
      </w:r>
      <w:r w:rsidRPr="00B00A4B">
        <w:rPr>
          <w:rFonts w:ascii="Arial" w:hAnsi="Arial" w:eastAsia="Calibri" w:cs="Arial"/>
          <w:kern w:val="0"/>
          <w:sz w:val="24"/>
          <w:szCs w:val="24"/>
          <w14:ligatures w14:val="none"/>
        </w:rPr>
        <w:t xml:space="preserve">, </w:t>
      </w:r>
      <w:r w:rsidRPr="00B00A4B">
        <w:rPr>
          <w:rFonts w:ascii="Arial" w:hAnsi="Arial" w:eastAsia="Calibri" w:cs="Arial"/>
          <w:i/>
          <w:iCs/>
          <w:kern w:val="0"/>
          <w:sz w:val="24"/>
          <w:szCs w:val="24"/>
          <w14:ligatures w14:val="none"/>
        </w:rPr>
        <w:t>The Journal of Investment Compliance</w:t>
      </w:r>
      <w:r w:rsidRPr="00B00A4B">
        <w:rPr>
          <w:rFonts w:ascii="Arial" w:hAnsi="Arial" w:eastAsia="Calibri" w:cs="Arial"/>
          <w:kern w:val="0"/>
          <w:sz w:val="24"/>
          <w:szCs w:val="24"/>
          <w14:ligatures w14:val="none"/>
        </w:rPr>
        <w:t xml:space="preserve">, and </w:t>
      </w:r>
      <w:r w:rsidRPr="00B00A4B">
        <w:rPr>
          <w:rFonts w:ascii="Arial" w:hAnsi="Arial" w:eastAsia="Calibri" w:cs="Arial"/>
          <w:i/>
          <w:iCs/>
          <w:kern w:val="0"/>
          <w:sz w:val="24"/>
          <w:szCs w:val="24"/>
          <w14:ligatures w14:val="none"/>
        </w:rPr>
        <w:t>The Securities Arbitration Commentator</w:t>
      </w:r>
      <w:r w:rsidRPr="00B00A4B">
        <w:rPr>
          <w:rFonts w:ascii="Arial" w:hAnsi="Arial" w:eastAsia="Calibri" w:cs="Arial"/>
          <w:kern w:val="0"/>
          <w:sz w:val="24"/>
          <w:szCs w:val="24"/>
          <w14:ligatures w14:val="none"/>
        </w:rPr>
        <w:t xml:space="preserve">, among other publications, and include over 100 weekly opinion pieces published under the banner </w:t>
      </w:r>
      <w:proofErr w:type="spellStart"/>
      <w:r w:rsidRPr="00B00A4B">
        <w:rPr>
          <w:rFonts w:ascii="Arial" w:hAnsi="Arial" w:eastAsia="Calibri" w:cs="Arial"/>
          <w:i/>
          <w:iCs/>
          <w:kern w:val="0"/>
          <w:sz w:val="24"/>
          <w:szCs w:val="24"/>
          <w14:ligatures w14:val="none"/>
        </w:rPr>
        <w:t>InSecurities</w:t>
      </w:r>
      <w:proofErr w:type="spellEnd"/>
      <w:r w:rsidRPr="00B00A4B">
        <w:rPr>
          <w:rFonts w:ascii="Arial" w:hAnsi="Arial" w:eastAsia="Calibri" w:cs="Arial"/>
          <w:kern w:val="0"/>
          <w:sz w:val="24"/>
          <w:szCs w:val="24"/>
          <w14:ligatures w14:val="none"/>
        </w:rPr>
        <w:t xml:space="preserve"> in the securities industry blog </w:t>
      </w:r>
      <w:r w:rsidRPr="00B00A4B">
        <w:rPr>
          <w:rFonts w:ascii="Arial" w:hAnsi="Arial" w:eastAsia="Calibri" w:cs="Arial"/>
          <w:i/>
          <w:iCs/>
          <w:kern w:val="0"/>
          <w:sz w:val="24"/>
          <w:szCs w:val="24"/>
          <w14:ligatures w14:val="none"/>
        </w:rPr>
        <w:t xml:space="preserve">BrokeandBroker.com </w:t>
      </w:r>
      <w:r w:rsidRPr="00B00A4B">
        <w:rPr>
          <w:rFonts w:ascii="Arial" w:hAnsi="Arial" w:eastAsia="Calibri" w:cs="Arial"/>
          <w:kern w:val="0"/>
          <w:sz w:val="24"/>
          <w:szCs w:val="24"/>
          <w14:ligatures w14:val="none"/>
        </w:rPr>
        <w:t>(2018-2022).</w:t>
      </w:r>
      <w:r w:rsidRPr="009E0E1E" w:rsidR="00B5371F">
        <w:rPr>
          <w:rFonts w:ascii="Arial" w:hAnsi="Arial" w:cs="Arial"/>
        </w:rPr>
        <w:br w:type="page"/>
      </w:r>
    </w:p>
    <w:p w:rsidRPr="009E0E1E" w:rsidR="00B5371F" w:rsidP="00B5371F" w:rsidRDefault="00B5371F" w14:paraId="24A204DF" w14:textId="77777777">
      <w:pPr>
        <w:rPr>
          <w:rFonts w:ascii="Arial" w:hAnsi="Arial" w:cs="Arial"/>
          <w:sz w:val="24"/>
          <w:szCs w:val="24"/>
        </w:rPr>
      </w:pPr>
      <w:r w:rsidRPr="009E0E1E">
        <w:rPr>
          <w:rFonts w:ascii="Arial" w:hAnsi="Arial" w:cs="Arial"/>
          <w:sz w:val="24"/>
          <w:szCs w:val="24"/>
        </w:rPr>
        <w:lastRenderedPageBreak/>
        <w:t>Andrew Kliewer is an associate in the New York office of Wilson Sonsini Goodrich &amp; Rosati, where he advises companies in the fintech and financial services spaces on transactional and regulatory matters involving payments.</w:t>
      </w:r>
    </w:p>
    <w:p w:rsidRPr="009E0E1E" w:rsidR="00B5371F" w:rsidP="00B5371F" w:rsidRDefault="00B5371F" w14:paraId="76A1B2C7" w14:textId="77777777">
      <w:pPr>
        <w:rPr>
          <w:rFonts w:ascii="Arial" w:hAnsi="Arial" w:cs="Arial"/>
          <w:sz w:val="24"/>
          <w:szCs w:val="24"/>
        </w:rPr>
      </w:pPr>
      <w:r w:rsidRPr="009E0E1E">
        <w:rPr>
          <w:rFonts w:ascii="Arial" w:hAnsi="Arial" w:cs="Arial"/>
          <w:sz w:val="24"/>
          <w:szCs w:val="24"/>
        </w:rPr>
        <w:t>While attending law school, Andrew externed for the Consumer Financial Protection Bureau, where he served on the rulemaking team for the Dodd-Frank Section 1033 open banking rule. He also externed for the Division of Enforcement at the Securities and Exchange Commission.</w:t>
      </w:r>
    </w:p>
    <w:p w:rsidRPr="009E0E1E" w:rsidR="00B5371F" w:rsidP="00B5371F" w:rsidRDefault="00B00A4B" w14:paraId="767BD0A5" w14:textId="18DE39E5">
      <w:pPr>
        <w:rPr>
          <w:rFonts w:ascii="Arial" w:hAnsi="Arial" w:cs="Arial"/>
          <w:sz w:val="24"/>
          <w:szCs w:val="24"/>
        </w:rPr>
      </w:pPr>
      <w:r w:rsidRPr="009E0E1E">
        <w:rPr>
          <w:rFonts w:ascii="Arial" w:hAnsi="Arial" w:cs="Arial"/>
          <w:sz w:val="24"/>
          <w:szCs w:val="24"/>
        </w:rPr>
        <w:br w:type="page"/>
      </w:r>
      <w:r w:rsidR="00B84FF0">
        <w:rPr>
          <w:rFonts w:ascii="Arial" w:hAnsi="Arial" w:cs="Arial"/>
          <w:sz w:val="24"/>
          <w:szCs w:val="24"/>
        </w:rPr>
        <w:t>Chris</w:t>
      </w:r>
      <w:r w:rsidRPr="009E0E1E" w:rsidR="00B5371F">
        <w:rPr>
          <w:rFonts w:ascii="Arial" w:hAnsi="Arial" w:cs="Arial"/>
          <w:sz w:val="24"/>
          <w:szCs w:val="24"/>
        </w:rPr>
        <w:t xml:space="preserve"> Bosch is </w:t>
      </w:r>
      <w:r w:rsidR="00B84FF0">
        <w:rPr>
          <w:rFonts w:ascii="Arial" w:hAnsi="Arial" w:cs="Arial"/>
          <w:sz w:val="24"/>
          <w:szCs w:val="24"/>
        </w:rPr>
        <w:t>a member of</w:t>
      </w:r>
      <w:r w:rsidRPr="009E0E1E" w:rsidR="00B5371F">
        <w:rPr>
          <w:rFonts w:ascii="Arial" w:hAnsi="Arial" w:cs="Arial"/>
          <w:sz w:val="24"/>
          <w:szCs w:val="24"/>
        </w:rPr>
        <w:t xml:space="preserve"> the Governmental Practice in the </w:t>
      </w:r>
      <w:r w:rsidR="00B84FF0">
        <w:rPr>
          <w:rFonts w:ascii="Arial" w:hAnsi="Arial" w:cs="Arial"/>
          <w:sz w:val="24"/>
          <w:szCs w:val="24"/>
        </w:rPr>
        <w:t>Sheppard Mullin</w:t>
      </w:r>
      <w:r w:rsidRPr="009E0E1E" w:rsidR="00B5371F">
        <w:rPr>
          <w:rFonts w:ascii="Arial" w:hAnsi="Arial" w:cs="Arial"/>
          <w:sz w:val="24"/>
          <w:szCs w:val="24"/>
        </w:rPr>
        <w:t>'s New York office.</w:t>
      </w:r>
    </w:p>
    <w:p w:rsidR="00B5371F" w:rsidP="00B5371F" w:rsidRDefault="00B84FF0" w14:paraId="0CC71FF6" w14:textId="0E6E7D30">
      <w:pPr>
        <w:rPr>
          <w:rFonts w:ascii="Arial" w:hAnsi="Arial" w:cs="Arial"/>
          <w:sz w:val="24"/>
          <w:szCs w:val="24"/>
        </w:rPr>
      </w:pPr>
      <w:r>
        <w:rPr>
          <w:rFonts w:ascii="Arial" w:hAnsi="Arial" w:cs="Arial"/>
          <w:sz w:val="24"/>
          <w:szCs w:val="24"/>
        </w:rPr>
        <w:t>Chris</w:t>
      </w:r>
      <w:r w:rsidRPr="009E0E1E" w:rsidR="00B5371F">
        <w:rPr>
          <w:rFonts w:ascii="Arial" w:hAnsi="Arial" w:cs="Arial"/>
          <w:sz w:val="24"/>
          <w:szCs w:val="24"/>
        </w:rPr>
        <w:t xml:space="preserve">' practice primarily focuses on securities regulation, compliance, and litigation, as well as internal investigations and </w:t>
      </w:r>
      <w:proofErr w:type="gramStart"/>
      <w:r w:rsidRPr="009E0E1E" w:rsidR="00B5371F">
        <w:rPr>
          <w:rFonts w:ascii="Arial" w:hAnsi="Arial" w:cs="Arial"/>
          <w:sz w:val="24"/>
          <w:szCs w:val="24"/>
        </w:rPr>
        <w:t>white collar</w:t>
      </w:r>
      <w:proofErr w:type="gramEnd"/>
      <w:r w:rsidRPr="009E0E1E" w:rsidR="00B5371F">
        <w:rPr>
          <w:rFonts w:ascii="Arial" w:hAnsi="Arial" w:cs="Arial"/>
          <w:sz w:val="24"/>
          <w:szCs w:val="24"/>
        </w:rPr>
        <w:t xml:space="preserve"> defense.</w:t>
      </w:r>
      <w:r>
        <w:rPr>
          <w:rFonts w:ascii="Arial" w:hAnsi="Arial" w:cs="Arial"/>
          <w:sz w:val="24"/>
          <w:szCs w:val="24"/>
        </w:rPr>
        <w:t xml:space="preserve">  Chris</w:t>
      </w:r>
      <w:r w:rsidRPr="009E0E1E" w:rsidR="00B5371F">
        <w:rPr>
          <w:rFonts w:ascii="Arial" w:hAnsi="Arial" w:cs="Arial"/>
          <w:sz w:val="24"/>
          <w:szCs w:val="24"/>
        </w:rPr>
        <w:t xml:space="preserve"> frequently represents banks, broker-dealers, investment advisers, boards of directors, corporate officers, financial advisors, and other securities professionals in connection with internal investigations and inquiries by U.S. Attorneys</w:t>
      </w:r>
      <w:r>
        <w:rPr>
          <w:rFonts w:ascii="Arial" w:hAnsi="Arial" w:cs="Arial"/>
          <w:sz w:val="24"/>
          <w:szCs w:val="24"/>
        </w:rPr>
        <w:t>’</w:t>
      </w:r>
      <w:r w:rsidRPr="009E0E1E" w:rsidR="00B5371F">
        <w:rPr>
          <w:rFonts w:ascii="Arial" w:hAnsi="Arial" w:cs="Arial"/>
          <w:sz w:val="24"/>
          <w:szCs w:val="24"/>
        </w:rPr>
        <w:t xml:space="preserve"> Offices, the SEC, the CFTC, FINRA, the IRS, the FRB, the NY Department of Financial Services, and other governmental entities and self-regulatory organizations. He counsels </w:t>
      </w:r>
      <w:r>
        <w:rPr>
          <w:rFonts w:ascii="Arial" w:hAnsi="Arial" w:cs="Arial"/>
          <w:sz w:val="24"/>
          <w:szCs w:val="24"/>
        </w:rPr>
        <w:t>clients on matters relating to</w:t>
      </w:r>
      <w:r w:rsidRPr="009E0E1E" w:rsidR="00B5371F">
        <w:rPr>
          <w:rFonts w:ascii="Arial" w:hAnsi="Arial" w:cs="Arial"/>
          <w:sz w:val="24"/>
          <w:szCs w:val="24"/>
        </w:rPr>
        <w:t xml:space="preserve"> insider trading, trading and position valuation, misuse of confidential information, unauthorized trading, money laundering and BSA/AML issues, retail brokerage sales practice violations, criminal and civil tax violations, and legal challenges posed by emerging technologies. </w:t>
      </w:r>
      <w:r>
        <w:rPr>
          <w:rFonts w:ascii="Arial" w:hAnsi="Arial" w:cs="Arial"/>
          <w:sz w:val="24"/>
          <w:szCs w:val="24"/>
        </w:rPr>
        <w:t xml:space="preserve"> </w:t>
      </w:r>
      <w:r>
        <w:rPr>
          <w:rFonts w:ascii="Arial" w:hAnsi="Arial" w:cs="Arial"/>
          <w:sz w:val="24"/>
          <w:szCs w:val="24"/>
        </w:rPr>
        <w:t>Chris</w:t>
      </w:r>
      <w:r w:rsidRPr="009E0E1E">
        <w:rPr>
          <w:rFonts w:ascii="Arial" w:hAnsi="Arial" w:cs="Arial"/>
          <w:sz w:val="24"/>
          <w:szCs w:val="24"/>
        </w:rPr>
        <w:t xml:space="preserve"> represents organizations and individuals in connection with a wide variety of litigation, including grand jury and regulatory enforcement matters, as well as RICO, breach of contract, fraud, intellectual property infringement, and shareholder actions.</w:t>
      </w:r>
    </w:p>
    <w:p w:rsidRPr="009E0E1E" w:rsidR="00B84FF0" w:rsidP="00B5371F" w:rsidRDefault="00B84FF0" w14:paraId="0665D687" w14:textId="3F8E6C50">
      <w:pPr>
        <w:rPr>
          <w:rFonts w:ascii="Arial" w:hAnsi="Arial" w:cs="Arial"/>
          <w:sz w:val="24"/>
          <w:szCs w:val="24"/>
        </w:rPr>
      </w:pPr>
      <w:r>
        <w:rPr>
          <w:rFonts w:ascii="Arial" w:hAnsi="Arial" w:cs="Arial"/>
          <w:sz w:val="24"/>
          <w:szCs w:val="24"/>
        </w:rPr>
        <w:t>Chris</w:t>
      </w:r>
      <w:r w:rsidRPr="00B84FF0">
        <w:rPr>
          <w:rFonts w:ascii="Arial" w:hAnsi="Arial" w:cs="Arial"/>
          <w:sz w:val="24"/>
          <w:szCs w:val="24"/>
        </w:rPr>
        <w:t xml:space="preserve"> advises firms regarding digital asset issuances and enforcement </w:t>
      </w:r>
      <w:proofErr w:type="gramStart"/>
      <w:r w:rsidRPr="00B84FF0">
        <w:rPr>
          <w:rFonts w:ascii="Arial" w:hAnsi="Arial" w:cs="Arial"/>
          <w:sz w:val="24"/>
          <w:szCs w:val="24"/>
        </w:rPr>
        <w:t>matters, and</w:t>
      </w:r>
      <w:proofErr w:type="gramEnd"/>
      <w:r w:rsidRPr="00B84FF0">
        <w:rPr>
          <w:rFonts w:ascii="Arial" w:hAnsi="Arial" w:cs="Arial"/>
          <w:sz w:val="24"/>
          <w:szCs w:val="24"/>
        </w:rPr>
        <w:t xml:space="preserve"> has represented clients in crypto-related securities class action and fraud litigation. Chris regularly publishes on regulatory developments in the blockchain and cryptocurrency </w:t>
      </w:r>
      <w:proofErr w:type="gramStart"/>
      <w:r w:rsidRPr="00B84FF0">
        <w:rPr>
          <w:rFonts w:ascii="Arial" w:hAnsi="Arial" w:cs="Arial"/>
          <w:sz w:val="24"/>
          <w:szCs w:val="24"/>
        </w:rPr>
        <w:t>spaces, and</w:t>
      </w:r>
      <w:proofErr w:type="gramEnd"/>
      <w:r w:rsidRPr="00B84FF0">
        <w:rPr>
          <w:rFonts w:ascii="Arial" w:hAnsi="Arial" w:cs="Arial"/>
          <w:sz w:val="24"/>
          <w:szCs w:val="24"/>
        </w:rPr>
        <w:t xml:space="preserve"> has earned his Certified Cryptocurrency Auditor certification from the Blockchain Council.  </w:t>
      </w:r>
    </w:p>
    <w:p w:rsidRPr="009E0E1E" w:rsidR="00B5371F" w:rsidP="00B5371F" w:rsidRDefault="00B84FF0" w14:paraId="0BCC8691" w14:textId="339801FF">
      <w:pPr>
        <w:rPr>
          <w:rFonts w:ascii="Arial" w:hAnsi="Arial" w:cs="Arial"/>
          <w:sz w:val="24"/>
          <w:szCs w:val="24"/>
        </w:rPr>
      </w:pPr>
      <w:r>
        <w:rPr>
          <w:rFonts w:ascii="Arial" w:hAnsi="Arial" w:cs="Arial"/>
          <w:sz w:val="24"/>
          <w:szCs w:val="24"/>
        </w:rPr>
        <w:t>Chris</w:t>
      </w:r>
      <w:r w:rsidRPr="009E0E1E" w:rsidR="00B5371F">
        <w:rPr>
          <w:rFonts w:ascii="Arial" w:hAnsi="Arial" w:cs="Arial"/>
          <w:sz w:val="24"/>
          <w:szCs w:val="24"/>
        </w:rPr>
        <w:t xml:space="preserve"> is actively involved in pro bono work at the firm, including the representation of </w:t>
      </w:r>
      <w:r w:rsidRPr="00B84FF0">
        <w:rPr>
          <w:rFonts w:ascii="Arial" w:hAnsi="Arial" w:cs="Arial"/>
          <w:sz w:val="24"/>
          <w:szCs w:val="24"/>
        </w:rPr>
        <w:t xml:space="preserve">a class of mobility impaired residents and visitors in New York City seeking </w:t>
      </w:r>
      <w:r>
        <w:rPr>
          <w:rFonts w:ascii="Arial" w:hAnsi="Arial" w:cs="Arial"/>
          <w:sz w:val="24"/>
          <w:szCs w:val="24"/>
        </w:rPr>
        <w:t xml:space="preserve">improved wheelchair </w:t>
      </w:r>
      <w:r w:rsidRPr="00B84FF0">
        <w:rPr>
          <w:rFonts w:ascii="Arial" w:hAnsi="Arial" w:cs="Arial"/>
          <w:sz w:val="24"/>
          <w:szCs w:val="24"/>
        </w:rPr>
        <w:t>access</w:t>
      </w:r>
      <w:r>
        <w:rPr>
          <w:rFonts w:ascii="Arial" w:hAnsi="Arial" w:cs="Arial"/>
          <w:sz w:val="24"/>
          <w:szCs w:val="24"/>
        </w:rPr>
        <w:t>ibility among</w:t>
      </w:r>
      <w:r w:rsidRPr="00B84FF0">
        <w:rPr>
          <w:rFonts w:ascii="Arial" w:hAnsi="Arial" w:cs="Arial"/>
          <w:sz w:val="24"/>
          <w:szCs w:val="24"/>
        </w:rPr>
        <w:t xml:space="preserve"> the City’s yellow medallion taxi fleet</w:t>
      </w:r>
      <w:r>
        <w:rPr>
          <w:rFonts w:ascii="Arial" w:hAnsi="Arial" w:cs="Arial"/>
          <w:sz w:val="24"/>
          <w:szCs w:val="24"/>
        </w:rPr>
        <w:t>.</w:t>
      </w:r>
    </w:p>
    <w:p w:rsidRPr="009E0E1E" w:rsidR="00214E84" w:rsidP="00214E84" w:rsidRDefault="00214E84" w14:paraId="45B071DA" w14:textId="7437E57D">
      <w:pPr>
        <w:rPr>
          <w:rFonts w:ascii="Arial" w:hAnsi="Arial" w:cs="Arial"/>
          <w:b/>
          <w:bCs/>
          <w:sz w:val="24"/>
          <w:szCs w:val="24"/>
        </w:rPr>
      </w:pPr>
      <w:r w:rsidRPr="009E0E1E">
        <w:rPr>
          <w:rFonts w:ascii="Arial" w:hAnsi="Arial" w:cs="Arial"/>
          <w:sz w:val="24"/>
          <w:szCs w:val="24"/>
        </w:rPr>
        <w:tab/>
      </w:r>
      <w:r w:rsidRPr="009E0E1E">
        <w:rPr>
          <w:rFonts w:ascii="Arial" w:hAnsi="Arial" w:cs="Arial"/>
          <w:b/>
          <w:bCs/>
          <w:sz w:val="24"/>
          <w:szCs w:val="24"/>
        </w:rPr>
        <w:t>Education</w:t>
      </w:r>
    </w:p>
    <w:p w:rsidRPr="009E0E1E" w:rsidR="00214E84" w:rsidP="00214E84" w:rsidRDefault="00214E84" w14:paraId="7A65411F" w14:textId="127C4D5C">
      <w:pPr>
        <w:rPr>
          <w:rFonts w:ascii="Arial" w:hAnsi="Arial" w:cs="Arial"/>
          <w:sz w:val="24"/>
          <w:szCs w:val="24"/>
        </w:rPr>
      </w:pPr>
      <w:r w:rsidRPr="009E0E1E">
        <w:rPr>
          <w:rFonts w:ascii="Arial" w:hAnsi="Arial" w:cs="Arial"/>
          <w:sz w:val="24"/>
          <w:szCs w:val="24"/>
        </w:rPr>
        <w:t>J.D., Fordham University School of Law, 2015, magna cum laude, Order of the Coif, Notes &amp; Articles Editor, Fordham Urban Law Journal; Associate Editor, Dispute Resolution Society; Mary Daly Scholar</w:t>
      </w:r>
    </w:p>
    <w:p w:rsidRPr="009E0E1E" w:rsidR="00214E84" w:rsidP="00214E84" w:rsidRDefault="00214E84" w14:paraId="4E6298FB" w14:textId="656944AB">
      <w:pPr>
        <w:rPr>
          <w:rFonts w:ascii="Arial" w:hAnsi="Arial" w:cs="Arial"/>
          <w:sz w:val="24"/>
          <w:szCs w:val="24"/>
        </w:rPr>
      </w:pPr>
      <w:r w:rsidRPr="009E0E1E">
        <w:rPr>
          <w:rFonts w:ascii="Arial" w:hAnsi="Arial" w:cs="Arial"/>
          <w:sz w:val="24"/>
          <w:szCs w:val="24"/>
        </w:rPr>
        <w:t>B.S., Boston College, cum laude</w:t>
      </w:r>
    </w:p>
    <w:p w:rsidRPr="009E0E1E" w:rsidR="00214E84" w:rsidP="00214E84" w:rsidRDefault="00214E84" w14:paraId="0B4CCA2E" w14:textId="11B066FA">
      <w:pPr>
        <w:rPr>
          <w:rFonts w:ascii="Arial" w:hAnsi="Arial" w:cs="Arial"/>
          <w:sz w:val="24"/>
          <w:szCs w:val="24"/>
        </w:rPr>
      </w:pPr>
      <w:r w:rsidRPr="009E0E1E">
        <w:rPr>
          <w:rFonts w:ascii="Arial" w:hAnsi="Arial" w:cs="Arial"/>
          <w:sz w:val="24"/>
          <w:szCs w:val="24"/>
        </w:rPr>
        <w:tab/>
      </w:r>
      <w:r w:rsidRPr="009E0E1E">
        <w:rPr>
          <w:rFonts w:ascii="Arial" w:hAnsi="Arial" w:cs="Arial"/>
          <w:b/>
          <w:bCs/>
          <w:sz w:val="24"/>
          <w:szCs w:val="24"/>
        </w:rPr>
        <w:t>Admissions</w:t>
      </w:r>
    </w:p>
    <w:p w:rsidRPr="009E0E1E" w:rsidR="00214E84" w:rsidP="00214E84" w:rsidRDefault="00214E84" w14:paraId="6916F111" w14:textId="77777777">
      <w:pPr>
        <w:rPr>
          <w:rFonts w:ascii="Arial" w:hAnsi="Arial" w:cs="Arial"/>
          <w:sz w:val="24"/>
          <w:szCs w:val="24"/>
        </w:rPr>
      </w:pPr>
      <w:r w:rsidRPr="009E0E1E">
        <w:rPr>
          <w:rFonts w:ascii="Arial" w:hAnsi="Arial" w:cs="Arial"/>
          <w:sz w:val="24"/>
          <w:szCs w:val="24"/>
        </w:rPr>
        <w:t>NY, SDNY, EDNY, NDNY, 2</w:t>
      </w:r>
      <w:r w:rsidRPr="009E0E1E">
        <w:rPr>
          <w:rFonts w:ascii="Arial" w:hAnsi="Arial" w:cs="Arial"/>
          <w:sz w:val="24"/>
          <w:szCs w:val="24"/>
          <w:vertAlign w:val="superscript"/>
        </w:rPr>
        <w:t>nd</w:t>
      </w:r>
      <w:r w:rsidRPr="009E0E1E">
        <w:rPr>
          <w:rFonts w:ascii="Arial" w:hAnsi="Arial" w:cs="Arial"/>
          <w:sz w:val="24"/>
          <w:szCs w:val="24"/>
        </w:rPr>
        <w:t xml:space="preserve"> Circuit</w:t>
      </w:r>
    </w:p>
    <w:p w:rsidRPr="009E0E1E" w:rsidR="00B5371F" w:rsidP="00214E84" w:rsidRDefault="00B5371F" w14:paraId="595E33AD" w14:textId="18E37547">
      <w:pPr>
        <w:rPr>
          <w:rFonts w:ascii="Arial" w:hAnsi="Arial" w:cs="Arial"/>
          <w:sz w:val="24"/>
          <w:szCs w:val="24"/>
        </w:rPr>
      </w:pPr>
      <w:r w:rsidRPr="009E0E1E">
        <w:rPr>
          <w:rFonts w:ascii="Arial" w:hAnsi="Arial" w:cs="Arial"/>
          <w:sz w:val="24"/>
          <w:szCs w:val="24"/>
        </w:rPr>
        <w:br w:type="page"/>
        <w:t>Eugene serves as Fintech Counsel for Emerging Technologies with a government agency, advising his agency regarding new and innovative financial products and services, including crypto-assets and stablecoins, artificial intelligence, and bank-fintech partnerships. Prior to joining the government, Eugene was a member of Goodwin Procter’s Fintech and Insurtech practices where he advised banks and tech companies on enforcement, regulatory, and transactional issues in the financial services and insurance industries. Eugene started his legal career with New York State Department of Financial Services, serving as an Assistant Deputy Superintendent in the Enforcement Division. For over 4 years, he led multiple complex investigations into the banking, insurance, and consumer industries and brought enforcement actions against companies violating the law.</w:t>
      </w:r>
    </w:p>
    <w:p w:rsidRPr="009E0E1E" w:rsidR="00B5371F" w:rsidP="00B5371F" w:rsidRDefault="00B5371F" w14:paraId="0DF1539C" w14:textId="77777777">
      <w:pPr>
        <w:rPr>
          <w:rFonts w:ascii="Arial" w:hAnsi="Arial" w:cs="Arial"/>
          <w:sz w:val="24"/>
          <w:szCs w:val="24"/>
        </w:rPr>
      </w:pPr>
      <w:r w:rsidRPr="009E0E1E">
        <w:rPr>
          <w:rFonts w:ascii="Arial" w:hAnsi="Arial" w:cs="Arial"/>
          <w:sz w:val="24"/>
          <w:szCs w:val="24"/>
        </w:rPr>
        <w:t>Eugene serves as the vice president, treasurer, and secretary of the New York American Inn of Court.</w:t>
      </w:r>
    </w:p>
    <w:p w:rsidRPr="009E0E1E" w:rsidR="00214E84" w:rsidP="00214E84" w:rsidRDefault="00B5371F" w14:paraId="633541E7" w14:textId="77777777">
      <w:pPr>
        <w:rPr>
          <w:rFonts w:ascii="Arial" w:hAnsi="Arial" w:cs="Arial"/>
          <w:sz w:val="24"/>
          <w:szCs w:val="24"/>
        </w:rPr>
      </w:pPr>
      <w:r w:rsidRPr="009E0E1E">
        <w:rPr>
          <w:rFonts w:ascii="Arial" w:hAnsi="Arial" w:cs="Arial"/>
          <w:sz w:val="24"/>
          <w:szCs w:val="24"/>
        </w:rPr>
        <w:br w:type="page"/>
      </w:r>
      <w:r w:rsidRPr="009E0E1E" w:rsidR="00214E84">
        <w:rPr>
          <w:rFonts w:ascii="Arial" w:hAnsi="Arial" w:cs="Arial"/>
          <w:sz w:val="24"/>
          <w:szCs w:val="24"/>
        </w:rPr>
        <w:t>Jason Houda is a registered patent attorney at Spiegel &amp; Utrera P.A. with a focus on complex litigation and transactions, underpinned by his experience in life sciences, chemical, and electrical engineering. This multidisciplinary background equips him with an understanding of the scientific, technical, and legal aspects of cases. Jason specializes in U.S. and international patent prosecution in cutting-edge fields like data processing, machine learning, and biomechanical engineering. His experience extends to working with startups and microenterprises on various intellectual property matters.</w:t>
      </w:r>
    </w:p>
    <w:p w:rsidRPr="009E0E1E" w:rsidR="00214E84" w:rsidP="00214E84" w:rsidRDefault="00214E84" w14:paraId="0D2E23E5" w14:textId="77777777">
      <w:pPr>
        <w:rPr>
          <w:rFonts w:ascii="Arial" w:hAnsi="Arial" w:cs="Arial"/>
          <w:sz w:val="24"/>
          <w:szCs w:val="24"/>
        </w:rPr>
      </w:pPr>
      <w:r w:rsidRPr="009E0E1E">
        <w:rPr>
          <w:rFonts w:ascii="Arial" w:hAnsi="Arial" w:cs="Arial"/>
          <w:sz w:val="24"/>
          <w:szCs w:val="24"/>
        </w:rPr>
        <w:t>Jason's educational journey includes a Bachelor of Science degree in Healthcare Studies from The University of Texas at Dallas, where he excelled in a diverse array of scientific coursework. Additionally, he contributed as a Chemical Engineering Research Assistant at the University of Texas at Dallas Natural Science and Mathematics Research Lab, participating in projects spanning semiconductor engineering, integrated circuit manufacturing, clean room photolithography, 3D semiconductor modeling, and neutron detector development. Jason received his Juris Doctorate from Brooklyn Law School, a private law school, and received a certificate for specializing in IP, Media, and Information Law. Jason Houda's expertise uniquely positions him in the intersection of science and law, making him a valuable asset in intellectual property and technology law.</w:t>
      </w:r>
    </w:p>
    <w:p w:rsidRPr="009E0E1E" w:rsidR="00214E84" w:rsidP="00214E84" w:rsidRDefault="00214E84" w14:paraId="3E23CE06" w14:textId="77777777">
      <w:pPr>
        <w:ind w:firstLine="720"/>
        <w:rPr>
          <w:rFonts w:ascii="Arial" w:hAnsi="Arial" w:cs="Arial"/>
          <w:b/>
          <w:bCs/>
          <w:sz w:val="24"/>
          <w:szCs w:val="24"/>
        </w:rPr>
      </w:pPr>
      <w:r w:rsidRPr="009E0E1E">
        <w:rPr>
          <w:rFonts w:ascii="Arial" w:hAnsi="Arial" w:cs="Arial"/>
          <w:b/>
          <w:bCs/>
          <w:sz w:val="24"/>
          <w:szCs w:val="24"/>
        </w:rPr>
        <w:t>Education</w:t>
      </w:r>
    </w:p>
    <w:p w:rsidRPr="009E0E1E" w:rsidR="00214E84" w:rsidP="00214E84" w:rsidRDefault="00214E84" w14:paraId="7EA3A11B" w14:textId="77777777">
      <w:pPr>
        <w:rPr>
          <w:rFonts w:ascii="Arial" w:hAnsi="Arial" w:cs="Arial"/>
          <w:sz w:val="24"/>
          <w:szCs w:val="24"/>
        </w:rPr>
      </w:pPr>
      <w:r w:rsidRPr="009E0E1E">
        <w:rPr>
          <w:rFonts w:ascii="Arial" w:hAnsi="Arial" w:cs="Arial"/>
          <w:sz w:val="24"/>
          <w:szCs w:val="24"/>
        </w:rPr>
        <w:t>University of Texas at Dallas, Bachelors of Science</w:t>
      </w:r>
    </w:p>
    <w:p w:rsidRPr="009E0E1E" w:rsidR="00214E84" w:rsidP="00214E84" w:rsidRDefault="00214E84" w14:paraId="66687C59" w14:textId="77777777">
      <w:pPr>
        <w:rPr>
          <w:rFonts w:ascii="Arial" w:hAnsi="Arial" w:cs="Arial"/>
          <w:sz w:val="24"/>
          <w:szCs w:val="24"/>
        </w:rPr>
      </w:pPr>
      <w:r w:rsidRPr="009E0E1E">
        <w:rPr>
          <w:rFonts w:ascii="Arial" w:hAnsi="Arial" w:cs="Arial"/>
          <w:sz w:val="24"/>
          <w:szCs w:val="24"/>
        </w:rPr>
        <w:t>Brooklyn Law School, J.D.</w:t>
      </w:r>
    </w:p>
    <w:p w:rsidRPr="009E0E1E" w:rsidR="00214E84" w:rsidP="00214E84" w:rsidRDefault="00214E84" w14:paraId="51773FC4" w14:textId="77777777">
      <w:pPr>
        <w:ind w:firstLine="720"/>
        <w:rPr>
          <w:rFonts w:ascii="Arial" w:hAnsi="Arial" w:cs="Arial"/>
          <w:b/>
          <w:bCs/>
          <w:sz w:val="24"/>
          <w:szCs w:val="24"/>
        </w:rPr>
      </w:pPr>
      <w:r w:rsidRPr="009E0E1E">
        <w:rPr>
          <w:rFonts w:ascii="Arial" w:hAnsi="Arial" w:cs="Arial"/>
          <w:b/>
          <w:bCs/>
          <w:sz w:val="24"/>
          <w:szCs w:val="24"/>
        </w:rPr>
        <w:t>Admissions</w:t>
      </w:r>
    </w:p>
    <w:p w:rsidRPr="009E0E1E" w:rsidR="00214E84" w:rsidP="00214E84" w:rsidRDefault="00214E84" w14:paraId="66D62F72" w14:textId="7E03853F">
      <w:pPr>
        <w:rPr>
          <w:rFonts w:ascii="Arial" w:hAnsi="Arial" w:cs="Arial"/>
          <w:sz w:val="24"/>
          <w:szCs w:val="24"/>
        </w:rPr>
      </w:pPr>
      <w:r w:rsidRPr="009E0E1E">
        <w:rPr>
          <w:rFonts w:ascii="Arial" w:hAnsi="Arial" w:cs="Arial"/>
          <w:sz w:val="24"/>
          <w:szCs w:val="24"/>
        </w:rPr>
        <w:t>NY, SDNY, EOIR, USPTO/PTAB/TTAB</w:t>
      </w:r>
    </w:p>
    <w:p w:rsidRPr="009E0E1E" w:rsidR="00214E84" w:rsidP="00214E84" w:rsidRDefault="00214E84" w14:paraId="6B7196DE" w14:textId="77777777">
      <w:pPr>
        <w:rPr>
          <w:rFonts w:ascii="Arial" w:hAnsi="Arial" w:cs="Arial"/>
          <w:sz w:val="24"/>
          <w:szCs w:val="24"/>
        </w:rPr>
      </w:pPr>
      <w:r w:rsidRPr="009E0E1E">
        <w:rPr>
          <w:rFonts w:ascii="Arial" w:hAnsi="Arial" w:cs="Arial"/>
          <w:sz w:val="24"/>
          <w:szCs w:val="24"/>
        </w:rPr>
        <w:br w:type="page"/>
        <w:t>Luke Hamel is a 2023 NYU Law graduate. Luke started his career at a firm and now works for the New York City Council, where he serves as counsel for the Committee of Civil and Human Rights and the Committee on Small Business. In this capacity he drafts local laws and provides legal advice to policymakers and advocates.</w:t>
      </w:r>
    </w:p>
    <w:p w:rsidRPr="009E0E1E" w:rsidR="00214E84" w:rsidP="00214E84" w:rsidRDefault="00214E84" w14:paraId="7FB5BD61" w14:textId="77777777">
      <w:pPr>
        <w:rPr>
          <w:rFonts w:ascii="Arial" w:hAnsi="Arial" w:cs="Arial"/>
          <w:sz w:val="24"/>
          <w:szCs w:val="24"/>
        </w:rPr>
      </w:pPr>
      <w:r w:rsidRPr="009E0E1E">
        <w:rPr>
          <w:rFonts w:ascii="Arial" w:hAnsi="Arial" w:cs="Arial"/>
          <w:sz w:val="24"/>
          <w:szCs w:val="24"/>
        </w:rPr>
        <w:br w:type="page"/>
      </w:r>
    </w:p>
    <w:p w:rsidRPr="009E0E1E" w:rsidR="00B00A4B" w:rsidP="00B00A4B" w:rsidRDefault="00B00A4B" w14:paraId="7E38F3D3" w14:textId="786E1574">
      <w:pPr>
        <w:rPr>
          <w:rFonts w:ascii="Arial" w:hAnsi="Arial" w:cs="Arial"/>
          <w:sz w:val="24"/>
          <w:szCs w:val="24"/>
        </w:rPr>
      </w:pPr>
      <w:r w:rsidRPr="009E0E1E">
        <w:rPr>
          <w:rFonts w:ascii="Arial" w:hAnsi="Arial" w:cs="Arial"/>
          <w:sz w:val="24"/>
          <w:szCs w:val="24"/>
        </w:rPr>
        <w:t xml:space="preserve">Rishi Bhandari is a partner at Mandel Bhandari LLP, which he </w:t>
      </w:r>
      <w:proofErr w:type="spellStart"/>
      <w:r w:rsidRPr="009E0E1E">
        <w:rPr>
          <w:rFonts w:ascii="Arial" w:hAnsi="Arial" w:cs="Arial"/>
          <w:sz w:val="24"/>
          <w:szCs w:val="24"/>
        </w:rPr>
        <w:t>соfounded</w:t>
      </w:r>
      <w:proofErr w:type="spellEnd"/>
      <w:r w:rsidRPr="009E0E1E">
        <w:rPr>
          <w:rFonts w:ascii="Arial" w:hAnsi="Arial" w:cs="Arial"/>
          <w:sz w:val="24"/>
          <w:szCs w:val="24"/>
        </w:rPr>
        <w:t>. He is an experienced litigator and problem solver. Rishi is a highly respected trial attorney who frequently takes cases just weeks or months before trial. He has been recognized by Super Lawyers magazine as a Rising Star from 2011-2014 and as a Super Lawyer from 2015 onward. He is certified as a Trial Advocacy Teacher by NITA and has been selected by the National Trial Lawyers as a member of the Top 100.</w:t>
      </w:r>
    </w:p>
    <w:p w:rsidRPr="009E0E1E" w:rsidR="00B00A4B" w:rsidP="00B00A4B" w:rsidRDefault="00B00A4B" w14:paraId="4ED6E5D9" w14:textId="23A08372">
      <w:pPr>
        <w:rPr>
          <w:rFonts w:ascii="Arial" w:hAnsi="Arial" w:cs="Arial"/>
          <w:sz w:val="24"/>
          <w:szCs w:val="24"/>
        </w:rPr>
      </w:pPr>
      <w:r w:rsidRPr="009E0E1E">
        <w:rPr>
          <w:rFonts w:ascii="Arial" w:hAnsi="Arial" w:cs="Arial"/>
          <w:sz w:val="24"/>
          <w:szCs w:val="24"/>
        </w:rPr>
        <w:t xml:space="preserve">Rishi has been </w:t>
      </w:r>
      <w:proofErr w:type="gramStart"/>
      <w:r w:rsidRPr="009E0E1E">
        <w:rPr>
          <w:rFonts w:ascii="Arial" w:hAnsi="Arial" w:cs="Arial"/>
          <w:sz w:val="24"/>
          <w:szCs w:val="24"/>
        </w:rPr>
        <w:t>lead</w:t>
      </w:r>
      <w:proofErr w:type="gramEnd"/>
      <w:r w:rsidRPr="009E0E1E">
        <w:rPr>
          <w:rFonts w:ascii="Arial" w:hAnsi="Arial" w:cs="Arial"/>
          <w:sz w:val="24"/>
          <w:szCs w:val="24"/>
        </w:rPr>
        <w:t xml:space="preserve"> counsel or co-lead counsel in more than 25 lawsuits and arbitrations that have resulted in judgments or settled on very favorable terms shortly before or after opening statements. Rishi has achieved outstanding results for his clients, including a jury verdict that was more than nine times larger than the defendants' final settlement offer and another jury verdict that was $7 million more than the defendant's final settlement </w:t>
      </w:r>
      <w:proofErr w:type="gramStart"/>
      <w:r w:rsidRPr="009E0E1E">
        <w:rPr>
          <w:rFonts w:ascii="Arial" w:hAnsi="Arial" w:cs="Arial"/>
          <w:sz w:val="24"/>
          <w:szCs w:val="24"/>
        </w:rPr>
        <w:t>offer</w:t>
      </w:r>
      <w:proofErr w:type="gramEnd"/>
      <w:r w:rsidRPr="009E0E1E">
        <w:rPr>
          <w:rFonts w:ascii="Arial" w:hAnsi="Arial" w:cs="Arial"/>
          <w:sz w:val="24"/>
          <w:szCs w:val="24"/>
        </w:rPr>
        <w:t>. Rishi has won judgments or settled cases with claims worth well over $100 million.</w:t>
      </w:r>
    </w:p>
    <w:p w:rsidRPr="009E0E1E" w:rsidR="00B00A4B" w:rsidP="00B00A4B" w:rsidRDefault="00B00A4B" w14:paraId="4A353C2C" w14:textId="4D5AEDA3">
      <w:pPr>
        <w:rPr>
          <w:rFonts w:ascii="Arial" w:hAnsi="Arial" w:cs="Arial"/>
          <w:b/>
          <w:bCs/>
          <w:sz w:val="24"/>
          <w:szCs w:val="24"/>
        </w:rPr>
      </w:pPr>
      <w:r w:rsidRPr="009E0E1E">
        <w:rPr>
          <w:rFonts w:ascii="Arial" w:hAnsi="Arial" w:cs="Arial"/>
          <w:sz w:val="24"/>
          <w:szCs w:val="24"/>
        </w:rPr>
        <w:t>Rishi has also devoted considerable time to public interest causes. He was a Teach for America Corps member and teacher in Baltimore and Washington, D.C. and worked for the Democratic National Committee's voter protection unit. Rishi co-authored materials and led training sessions for over 1,200 attorneys who volunteered for Michigan's voter protection program. has experience representing companies and individuals in state and federal court in a wide range of disputes, including corporate dissolution matters, breach of contract cases, and insurance and reinsurance litigation and arbitration. He has represented clients at all stages of litigation, from pre-litigation counseling through appeals.</w:t>
      </w:r>
      <w:r w:rsidRPr="009E0E1E">
        <w:rPr>
          <w:rFonts w:ascii="Arial" w:hAnsi="Arial" w:cs="Arial"/>
          <w:sz w:val="24"/>
          <w:szCs w:val="24"/>
        </w:rPr>
        <w:cr/>
      </w:r>
      <w:r w:rsidRPr="009E0E1E">
        <w:rPr>
          <w:rFonts w:ascii="Arial" w:hAnsi="Arial" w:cs="Arial"/>
          <w:b/>
          <w:bCs/>
          <w:sz w:val="24"/>
          <w:szCs w:val="24"/>
        </w:rPr>
        <w:t>Education</w:t>
      </w:r>
    </w:p>
    <w:p w:rsidRPr="009E0E1E" w:rsidR="00B00A4B" w:rsidP="00B00A4B" w:rsidRDefault="00B00A4B" w14:paraId="7752465D" w14:textId="77777777">
      <w:pPr>
        <w:rPr>
          <w:rFonts w:ascii="Arial" w:hAnsi="Arial" w:cs="Arial"/>
          <w:sz w:val="24"/>
          <w:szCs w:val="24"/>
        </w:rPr>
      </w:pPr>
      <w:r w:rsidRPr="009E0E1E">
        <w:rPr>
          <w:rFonts w:ascii="Arial" w:hAnsi="Arial" w:cs="Arial"/>
          <w:sz w:val="24"/>
          <w:szCs w:val="24"/>
        </w:rPr>
        <w:t>N.Y.U. School of Law, J.D.;</w:t>
      </w:r>
    </w:p>
    <w:p w:rsidRPr="009E0E1E" w:rsidR="00B00A4B" w:rsidP="00B00A4B" w:rsidRDefault="00B00A4B" w14:paraId="3BF9FFD6" w14:textId="5642ED0E">
      <w:pPr>
        <w:rPr>
          <w:rFonts w:ascii="Arial" w:hAnsi="Arial" w:cs="Arial"/>
          <w:sz w:val="24"/>
          <w:szCs w:val="24"/>
        </w:rPr>
      </w:pPr>
      <w:r w:rsidRPr="009E0E1E">
        <w:rPr>
          <w:rFonts w:ascii="Arial" w:hAnsi="Arial" w:cs="Arial"/>
          <w:sz w:val="24"/>
          <w:szCs w:val="24"/>
        </w:rPr>
        <w:t>Vanderbilt Medal, Extraordinary Contribution to Law School Community;</w:t>
      </w:r>
    </w:p>
    <w:p w:rsidRPr="009E0E1E" w:rsidR="00B00A4B" w:rsidP="00B00A4B" w:rsidRDefault="00B00A4B" w14:paraId="4B7577C6" w14:textId="345B569D">
      <w:pPr>
        <w:rPr>
          <w:rFonts w:ascii="Arial" w:hAnsi="Arial" w:cs="Arial"/>
          <w:sz w:val="24"/>
          <w:szCs w:val="24"/>
        </w:rPr>
      </w:pPr>
      <w:r w:rsidRPr="009E0E1E">
        <w:rPr>
          <w:rFonts w:ascii="Arial" w:hAnsi="Arial" w:cs="Arial"/>
          <w:sz w:val="24"/>
          <w:szCs w:val="24"/>
        </w:rPr>
        <w:t>Student Bar Association, President</w:t>
      </w:r>
      <w:r w:rsidRPr="009E0E1E">
        <w:rPr>
          <w:rFonts w:ascii="Arial" w:hAnsi="Arial" w:cs="Arial"/>
          <w:sz w:val="24"/>
          <w:szCs w:val="24"/>
        </w:rPr>
        <w:cr/>
        <w:t>Vassar College, B.A.;</w:t>
      </w:r>
    </w:p>
    <w:p w:rsidRPr="009E0E1E" w:rsidR="00B00A4B" w:rsidP="00B00A4B" w:rsidRDefault="00B00A4B" w14:paraId="215BB70A" w14:textId="77777777">
      <w:pPr>
        <w:rPr>
          <w:rFonts w:ascii="Arial" w:hAnsi="Arial" w:cs="Arial"/>
          <w:sz w:val="24"/>
          <w:szCs w:val="24"/>
        </w:rPr>
      </w:pPr>
      <w:r w:rsidRPr="009E0E1E">
        <w:rPr>
          <w:rFonts w:ascii="Arial" w:hAnsi="Arial" w:cs="Arial"/>
          <w:sz w:val="24"/>
          <w:szCs w:val="24"/>
        </w:rPr>
        <w:t xml:space="preserve">First Place Speaker, Harvard, Stanford and Cambridge University Debates; </w:t>
      </w:r>
    </w:p>
    <w:p w:rsidRPr="009E0E1E" w:rsidR="00B00A4B" w:rsidP="00B00A4B" w:rsidRDefault="00B00A4B" w14:paraId="11E59D89" w14:textId="0763AA12">
      <w:pPr>
        <w:rPr>
          <w:rFonts w:ascii="Arial" w:hAnsi="Arial" w:cs="Arial"/>
          <w:b/>
          <w:bCs/>
          <w:sz w:val="24"/>
          <w:szCs w:val="24"/>
        </w:rPr>
      </w:pPr>
      <w:r w:rsidRPr="009E0E1E">
        <w:rPr>
          <w:rFonts w:ascii="Arial" w:hAnsi="Arial" w:cs="Arial"/>
          <w:sz w:val="24"/>
          <w:szCs w:val="24"/>
        </w:rPr>
        <w:t>Second</w:t>
      </w:r>
      <w:r w:rsidR="00B84FF0">
        <w:rPr>
          <w:rFonts w:ascii="Arial" w:hAnsi="Arial" w:cs="Arial"/>
          <w:sz w:val="24"/>
          <w:szCs w:val="24"/>
        </w:rPr>
        <w:t xml:space="preserve"> </w:t>
      </w:r>
      <w:r w:rsidRPr="009E0E1E">
        <w:rPr>
          <w:rFonts w:ascii="Arial" w:hAnsi="Arial" w:cs="Arial"/>
          <w:sz w:val="24"/>
          <w:szCs w:val="24"/>
        </w:rPr>
        <w:t>ranked "Speaker of the Year", American Parliamentary Debate Association</w:t>
      </w:r>
      <w:r w:rsidRPr="009E0E1E">
        <w:rPr>
          <w:rFonts w:ascii="Arial" w:hAnsi="Arial" w:cs="Arial"/>
          <w:sz w:val="24"/>
          <w:szCs w:val="24"/>
        </w:rPr>
        <w:cr/>
      </w:r>
      <w:r w:rsidRPr="009E0E1E">
        <w:rPr>
          <w:rFonts w:ascii="Arial" w:hAnsi="Arial" w:cs="Arial"/>
          <w:b/>
          <w:bCs/>
          <w:sz w:val="24"/>
          <w:szCs w:val="24"/>
        </w:rPr>
        <w:t>Bar Admissions</w:t>
      </w:r>
    </w:p>
    <w:p w:rsidRPr="009E0E1E" w:rsidR="00F334E3" w:rsidP="00B00A4B" w:rsidRDefault="00B00A4B" w14:paraId="6EBDCD33" w14:textId="4B78CA4B">
      <w:pPr>
        <w:rPr>
          <w:rFonts w:ascii="Arial" w:hAnsi="Arial" w:cs="Arial"/>
          <w:sz w:val="24"/>
          <w:szCs w:val="24"/>
        </w:rPr>
      </w:pPr>
      <w:r w:rsidRPr="009E0E1E">
        <w:rPr>
          <w:rFonts w:ascii="Arial" w:hAnsi="Arial" w:cs="Arial"/>
          <w:sz w:val="24"/>
          <w:szCs w:val="24"/>
        </w:rPr>
        <w:t>CA, NY, SDNY, EDNY, ND Illinois, 2</w:t>
      </w:r>
      <w:r w:rsidRPr="009E0E1E">
        <w:rPr>
          <w:rFonts w:ascii="Arial" w:hAnsi="Arial" w:cs="Arial"/>
          <w:sz w:val="24"/>
          <w:szCs w:val="24"/>
          <w:vertAlign w:val="superscript"/>
        </w:rPr>
        <w:t>nd</w:t>
      </w:r>
      <w:r w:rsidRPr="009E0E1E">
        <w:rPr>
          <w:rFonts w:ascii="Arial" w:hAnsi="Arial" w:cs="Arial"/>
          <w:sz w:val="24"/>
          <w:szCs w:val="24"/>
        </w:rPr>
        <w:t xml:space="preserve"> Circuit, SCOTUS</w:t>
      </w:r>
    </w:p>
    <w:p w:rsidRPr="009E0E1E" w:rsidR="00F334E3" w:rsidRDefault="00F334E3" w14:paraId="73F58153" w14:textId="77777777">
      <w:pPr>
        <w:rPr>
          <w:rFonts w:ascii="Arial" w:hAnsi="Arial" w:cs="Arial"/>
          <w:sz w:val="24"/>
          <w:szCs w:val="24"/>
        </w:rPr>
      </w:pPr>
      <w:r w:rsidRPr="009E0E1E">
        <w:rPr>
          <w:rFonts w:ascii="Arial" w:hAnsi="Arial" w:cs="Arial"/>
          <w:sz w:val="24"/>
          <w:szCs w:val="24"/>
        </w:rPr>
        <w:br w:type="page"/>
      </w:r>
    </w:p>
    <w:p w:rsidRPr="009E0E1E" w:rsidR="00F334E3" w:rsidP="00F334E3" w:rsidRDefault="00F334E3" w14:paraId="0BC336FA" w14:textId="577B2423">
      <w:pPr>
        <w:rPr>
          <w:rFonts w:ascii="Arial" w:hAnsi="Arial" w:cs="Arial"/>
          <w:sz w:val="24"/>
          <w:szCs w:val="24"/>
        </w:rPr>
      </w:pPr>
      <w:r w:rsidRPr="009E0E1E">
        <w:rPr>
          <w:rFonts w:ascii="Arial" w:hAnsi="Arial" w:cs="Arial"/>
          <w:sz w:val="24"/>
          <w:szCs w:val="24"/>
        </w:rPr>
        <w:t>Sofia Orrantia is Legal Counsel at Gen II Fund Services, LLC where she assists with corporate law, privacy and data protection, regulatory compliance, contract negotiation, and risk management. Prior to joining Gen II Fund Services, LLC, she was an Associate Attorney at Gilbride, Tusa, Last &amp; Spellane, LLC, where she focused on complex commercial litigation. Sofia received a BA from the University of Florida and a JD from Quinnipiac University School of Law.</w:t>
      </w:r>
    </w:p>
    <w:sectPr w:rsidRPr="009E0E1E" w:rsidR="00F334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E760F9"/>
    <w:multiLevelType w:val="multilevel"/>
    <w:tmpl w:val="E82A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5712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A4B"/>
    <w:rsid w:val="00014440"/>
    <w:rsid w:val="00084678"/>
    <w:rsid w:val="00214E84"/>
    <w:rsid w:val="00376C64"/>
    <w:rsid w:val="003A33FF"/>
    <w:rsid w:val="0076336D"/>
    <w:rsid w:val="007E2EB4"/>
    <w:rsid w:val="008B4F61"/>
    <w:rsid w:val="009E0E1E"/>
    <w:rsid w:val="00A6090D"/>
    <w:rsid w:val="00B00A4B"/>
    <w:rsid w:val="00B5371F"/>
    <w:rsid w:val="00B84FF0"/>
    <w:rsid w:val="00F33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59C08"/>
  <w15:chartTrackingRefBased/>
  <w15:docId w15:val="{1B6C1734-8E14-4561-9B20-FE1515FF2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B00A4B"/>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00A4B"/>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00A4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00A4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00A4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00A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0A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0A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0A4B"/>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B00A4B"/>
    <w:rPr>
      <w:rFonts w:asciiTheme="majorHAnsi" w:hAnsiTheme="majorHAnsi" w:eastAsiaTheme="majorEastAsia" w:cstheme="majorBidi"/>
      <w:color w:val="2F5496" w:themeColor="accent1" w:themeShade="BF"/>
      <w:sz w:val="40"/>
      <w:szCs w:val="40"/>
    </w:rPr>
  </w:style>
  <w:style w:type="character" w:styleId="Heading2Char" w:customStyle="1">
    <w:name w:val="Heading 2 Char"/>
    <w:basedOn w:val="DefaultParagraphFont"/>
    <w:link w:val="Heading2"/>
    <w:uiPriority w:val="9"/>
    <w:semiHidden/>
    <w:rsid w:val="00B00A4B"/>
    <w:rPr>
      <w:rFonts w:asciiTheme="majorHAnsi" w:hAnsiTheme="majorHAnsi" w:eastAsiaTheme="majorEastAsia" w:cstheme="majorBidi"/>
      <w:color w:val="2F5496" w:themeColor="accent1" w:themeShade="BF"/>
      <w:sz w:val="32"/>
      <w:szCs w:val="32"/>
    </w:rPr>
  </w:style>
  <w:style w:type="character" w:styleId="Heading3Char" w:customStyle="1">
    <w:name w:val="Heading 3 Char"/>
    <w:basedOn w:val="DefaultParagraphFont"/>
    <w:link w:val="Heading3"/>
    <w:uiPriority w:val="9"/>
    <w:semiHidden/>
    <w:rsid w:val="00B00A4B"/>
    <w:rPr>
      <w:rFonts w:eastAsiaTheme="majorEastAsia" w:cstheme="majorBidi"/>
      <w:color w:val="2F5496" w:themeColor="accent1" w:themeShade="BF"/>
      <w:sz w:val="28"/>
      <w:szCs w:val="28"/>
    </w:rPr>
  </w:style>
  <w:style w:type="character" w:styleId="Heading4Char" w:customStyle="1">
    <w:name w:val="Heading 4 Char"/>
    <w:basedOn w:val="DefaultParagraphFont"/>
    <w:link w:val="Heading4"/>
    <w:uiPriority w:val="9"/>
    <w:semiHidden/>
    <w:rsid w:val="00B00A4B"/>
    <w:rPr>
      <w:rFonts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B00A4B"/>
    <w:rPr>
      <w:rFonts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B00A4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00A4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00A4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00A4B"/>
    <w:rPr>
      <w:rFonts w:eastAsiaTheme="majorEastAsia" w:cstheme="majorBidi"/>
      <w:color w:val="272727" w:themeColor="text1" w:themeTint="D8"/>
    </w:rPr>
  </w:style>
  <w:style w:type="paragraph" w:styleId="Title">
    <w:name w:val="Title"/>
    <w:basedOn w:val="Normal"/>
    <w:next w:val="Normal"/>
    <w:link w:val="TitleChar"/>
    <w:uiPriority w:val="10"/>
    <w:qFormat/>
    <w:rsid w:val="00B00A4B"/>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00A4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00A4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00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0A4B"/>
    <w:pPr>
      <w:spacing w:before="160"/>
      <w:jc w:val="center"/>
    </w:pPr>
    <w:rPr>
      <w:i/>
      <w:iCs/>
      <w:color w:val="404040" w:themeColor="text1" w:themeTint="BF"/>
    </w:rPr>
  </w:style>
  <w:style w:type="character" w:styleId="QuoteChar" w:customStyle="1">
    <w:name w:val="Quote Char"/>
    <w:basedOn w:val="DefaultParagraphFont"/>
    <w:link w:val="Quote"/>
    <w:uiPriority w:val="29"/>
    <w:rsid w:val="00B00A4B"/>
    <w:rPr>
      <w:i/>
      <w:iCs/>
      <w:color w:val="404040" w:themeColor="text1" w:themeTint="BF"/>
    </w:rPr>
  </w:style>
  <w:style w:type="paragraph" w:styleId="ListParagraph">
    <w:name w:val="List Paragraph"/>
    <w:basedOn w:val="Normal"/>
    <w:uiPriority w:val="34"/>
    <w:qFormat/>
    <w:rsid w:val="00B00A4B"/>
    <w:pPr>
      <w:ind w:left="720"/>
      <w:contextualSpacing/>
    </w:pPr>
  </w:style>
  <w:style w:type="character" w:styleId="IntenseEmphasis">
    <w:name w:val="Intense Emphasis"/>
    <w:basedOn w:val="DefaultParagraphFont"/>
    <w:uiPriority w:val="21"/>
    <w:qFormat/>
    <w:rsid w:val="00B00A4B"/>
    <w:rPr>
      <w:i/>
      <w:iCs/>
      <w:color w:val="2F5496" w:themeColor="accent1" w:themeShade="BF"/>
    </w:rPr>
  </w:style>
  <w:style w:type="paragraph" w:styleId="IntenseQuote">
    <w:name w:val="Intense Quote"/>
    <w:basedOn w:val="Normal"/>
    <w:next w:val="Normal"/>
    <w:link w:val="IntenseQuoteChar"/>
    <w:uiPriority w:val="30"/>
    <w:qFormat/>
    <w:rsid w:val="00B00A4B"/>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IntenseQuoteChar" w:customStyle="1">
    <w:name w:val="Intense Quote Char"/>
    <w:basedOn w:val="DefaultParagraphFont"/>
    <w:link w:val="IntenseQuote"/>
    <w:uiPriority w:val="30"/>
    <w:rsid w:val="00B00A4B"/>
    <w:rPr>
      <w:i/>
      <w:iCs/>
      <w:color w:val="2F5496" w:themeColor="accent1" w:themeShade="BF"/>
    </w:rPr>
  </w:style>
  <w:style w:type="character" w:styleId="IntenseReference">
    <w:name w:val="Intense Reference"/>
    <w:basedOn w:val="DefaultParagraphFont"/>
    <w:uiPriority w:val="32"/>
    <w:qFormat/>
    <w:rsid w:val="00B00A4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104907">
      <w:bodyDiv w:val="1"/>
      <w:marLeft w:val="0"/>
      <w:marRight w:val="0"/>
      <w:marTop w:val="0"/>
      <w:marBottom w:val="0"/>
      <w:divBdr>
        <w:top w:val="none" w:sz="0" w:space="0" w:color="auto"/>
        <w:left w:val="none" w:sz="0" w:space="0" w:color="auto"/>
        <w:bottom w:val="none" w:sz="0" w:space="0" w:color="auto"/>
        <w:right w:val="none" w:sz="0" w:space="0" w:color="auto"/>
      </w:divBdr>
    </w:div>
    <w:div w:id="587083082">
      <w:bodyDiv w:val="1"/>
      <w:marLeft w:val="0"/>
      <w:marRight w:val="0"/>
      <w:marTop w:val="0"/>
      <w:marBottom w:val="0"/>
      <w:divBdr>
        <w:top w:val="none" w:sz="0" w:space="0" w:color="auto"/>
        <w:left w:val="none" w:sz="0" w:space="0" w:color="auto"/>
        <w:bottom w:val="none" w:sz="0" w:space="0" w:color="auto"/>
        <w:right w:val="none" w:sz="0" w:space="0" w:color="auto"/>
      </w:divBdr>
    </w:div>
    <w:div w:id="790712474">
      <w:bodyDiv w:val="1"/>
      <w:marLeft w:val="0"/>
      <w:marRight w:val="0"/>
      <w:marTop w:val="0"/>
      <w:marBottom w:val="0"/>
      <w:divBdr>
        <w:top w:val="none" w:sz="0" w:space="0" w:color="auto"/>
        <w:left w:val="none" w:sz="0" w:space="0" w:color="auto"/>
        <w:bottom w:val="none" w:sz="0" w:space="0" w:color="auto"/>
        <w:right w:val="none" w:sz="0" w:space="0" w:color="auto"/>
      </w:divBdr>
      <w:divsChild>
        <w:div w:id="482746643">
          <w:marLeft w:val="0"/>
          <w:marRight w:val="0"/>
          <w:marTop w:val="0"/>
          <w:marBottom w:val="0"/>
          <w:divBdr>
            <w:top w:val="none" w:sz="0" w:space="0" w:color="auto"/>
            <w:left w:val="none" w:sz="0" w:space="0" w:color="auto"/>
            <w:bottom w:val="none" w:sz="0" w:space="0" w:color="auto"/>
            <w:right w:val="none" w:sz="0" w:space="0" w:color="auto"/>
          </w:divBdr>
        </w:div>
      </w:divsChild>
    </w:div>
    <w:div w:id="1179008074">
      <w:bodyDiv w:val="1"/>
      <w:marLeft w:val="0"/>
      <w:marRight w:val="0"/>
      <w:marTop w:val="0"/>
      <w:marBottom w:val="0"/>
      <w:divBdr>
        <w:top w:val="none" w:sz="0" w:space="0" w:color="auto"/>
        <w:left w:val="none" w:sz="0" w:space="0" w:color="auto"/>
        <w:bottom w:val="none" w:sz="0" w:space="0" w:color="auto"/>
        <w:right w:val="none" w:sz="0" w:space="0" w:color="auto"/>
      </w:divBdr>
      <w:divsChild>
        <w:div w:id="2136948508">
          <w:marLeft w:val="0"/>
          <w:marRight w:val="0"/>
          <w:marTop w:val="0"/>
          <w:marBottom w:val="0"/>
          <w:divBdr>
            <w:top w:val="none" w:sz="0" w:space="0" w:color="auto"/>
            <w:left w:val="none" w:sz="0" w:space="0" w:color="auto"/>
            <w:bottom w:val="none" w:sz="0" w:space="0" w:color="auto"/>
            <w:right w:val="none" w:sz="0" w:space="0" w:color="auto"/>
          </w:divBdr>
        </w:div>
      </w:divsChild>
    </w:div>
    <w:div w:id="1771659668">
      <w:bodyDiv w:val="1"/>
      <w:marLeft w:val="0"/>
      <w:marRight w:val="0"/>
      <w:marTop w:val="0"/>
      <w:marBottom w:val="0"/>
      <w:divBdr>
        <w:top w:val="none" w:sz="0" w:space="0" w:color="auto"/>
        <w:left w:val="none" w:sz="0" w:space="0" w:color="auto"/>
        <w:bottom w:val="none" w:sz="0" w:space="0" w:color="auto"/>
        <w:right w:val="none" w:sz="0" w:space="0" w:color="auto"/>
      </w:divBdr>
    </w:div>
    <w:div w:id="1805661228">
      <w:bodyDiv w:val="1"/>
      <w:marLeft w:val="0"/>
      <w:marRight w:val="0"/>
      <w:marTop w:val="0"/>
      <w:marBottom w:val="0"/>
      <w:divBdr>
        <w:top w:val="none" w:sz="0" w:space="0" w:color="auto"/>
        <w:left w:val="none" w:sz="0" w:space="0" w:color="auto"/>
        <w:bottom w:val="none" w:sz="0" w:space="0" w:color="auto"/>
        <w:right w:val="none" w:sz="0" w:space="0" w:color="auto"/>
      </w:divBdr>
      <w:divsChild>
        <w:div w:id="2068797367">
          <w:marLeft w:val="0"/>
          <w:marRight w:val="0"/>
          <w:marTop w:val="0"/>
          <w:marBottom w:val="0"/>
          <w:divBdr>
            <w:top w:val="none" w:sz="0" w:space="0" w:color="auto"/>
            <w:left w:val="none" w:sz="0" w:space="0" w:color="auto"/>
            <w:bottom w:val="none" w:sz="0" w:space="0" w:color="auto"/>
            <w:right w:val="none" w:sz="0" w:space="0" w:color="auto"/>
          </w:divBdr>
        </w:div>
        <w:div w:id="670333131">
          <w:marLeft w:val="0"/>
          <w:marRight w:val="0"/>
          <w:marTop w:val="0"/>
          <w:marBottom w:val="0"/>
          <w:divBdr>
            <w:top w:val="none" w:sz="0" w:space="0" w:color="auto"/>
            <w:left w:val="none" w:sz="0" w:space="0" w:color="auto"/>
            <w:bottom w:val="none" w:sz="0" w:space="0" w:color="auto"/>
            <w:right w:val="none" w:sz="0" w:space="0" w:color="auto"/>
          </w:divBdr>
        </w:div>
        <w:div w:id="1093939947">
          <w:marLeft w:val="0"/>
          <w:marRight w:val="0"/>
          <w:marTop w:val="0"/>
          <w:marBottom w:val="0"/>
          <w:divBdr>
            <w:top w:val="none" w:sz="0" w:space="0" w:color="auto"/>
            <w:left w:val="none" w:sz="0" w:space="0" w:color="auto"/>
            <w:bottom w:val="none" w:sz="0" w:space="0" w:color="auto"/>
            <w:right w:val="none" w:sz="0" w:space="0" w:color="auto"/>
          </w:divBdr>
        </w:div>
      </w:divsChild>
    </w:div>
    <w:div w:id="1851527920">
      <w:bodyDiv w:val="1"/>
      <w:marLeft w:val="0"/>
      <w:marRight w:val="0"/>
      <w:marTop w:val="0"/>
      <w:marBottom w:val="0"/>
      <w:divBdr>
        <w:top w:val="none" w:sz="0" w:space="0" w:color="auto"/>
        <w:left w:val="none" w:sz="0" w:space="0" w:color="auto"/>
        <w:bottom w:val="none" w:sz="0" w:space="0" w:color="auto"/>
        <w:right w:val="none" w:sz="0" w:space="0" w:color="auto"/>
      </w:divBdr>
      <w:divsChild>
        <w:div w:id="435322092">
          <w:marLeft w:val="0"/>
          <w:marRight w:val="0"/>
          <w:marTop w:val="0"/>
          <w:marBottom w:val="0"/>
          <w:divBdr>
            <w:top w:val="none" w:sz="0" w:space="0" w:color="auto"/>
            <w:left w:val="none" w:sz="0" w:space="0" w:color="auto"/>
            <w:bottom w:val="none" w:sz="0" w:space="0" w:color="auto"/>
            <w:right w:val="none" w:sz="0" w:space="0" w:color="auto"/>
          </w:divBdr>
        </w:div>
        <w:div w:id="653877139">
          <w:marLeft w:val="0"/>
          <w:marRight w:val="0"/>
          <w:marTop w:val="0"/>
          <w:marBottom w:val="0"/>
          <w:divBdr>
            <w:top w:val="none" w:sz="0" w:space="0" w:color="auto"/>
            <w:left w:val="none" w:sz="0" w:space="0" w:color="auto"/>
            <w:bottom w:val="none" w:sz="0" w:space="0" w:color="auto"/>
            <w:right w:val="none" w:sz="0" w:space="0" w:color="auto"/>
          </w:divBdr>
        </w:div>
        <w:div w:id="1104226105">
          <w:marLeft w:val="0"/>
          <w:marRight w:val="0"/>
          <w:marTop w:val="0"/>
          <w:marBottom w:val="0"/>
          <w:divBdr>
            <w:top w:val="none" w:sz="0" w:space="0" w:color="auto"/>
            <w:left w:val="none" w:sz="0" w:space="0" w:color="auto"/>
            <w:bottom w:val="none" w:sz="0" w:space="0" w:color="auto"/>
            <w:right w:val="none" w:sz="0" w:space="0" w:color="auto"/>
          </w:divBdr>
        </w:div>
      </w:divsChild>
    </w:div>
    <w:div w:id="1865167914">
      <w:bodyDiv w:val="1"/>
      <w:marLeft w:val="0"/>
      <w:marRight w:val="0"/>
      <w:marTop w:val="0"/>
      <w:marBottom w:val="0"/>
      <w:divBdr>
        <w:top w:val="none" w:sz="0" w:space="0" w:color="auto"/>
        <w:left w:val="none" w:sz="0" w:space="0" w:color="auto"/>
        <w:bottom w:val="none" w:sz="0" w:space="0" w:color="auto"/>
        <w:right w:val="none" w:sz="0" w:space="0" w:color="auto"/>
      </w:divBdr>
      <w:divsChild>
        <w:div w:id="545072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1900-01-01T07:00:00.0000000Z</dcterms:created>
  <dcterms:modified xsi:type="dcterms:W3CDTF">1900-01-01T07:00:00.0000000Z</dcterms:modified>
</coreProperties>
</file>